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6" w:rsidRDefault="00D54D92" w:rsidP="00D54D92">
      <w:pPr>
        <w:rPr>
          <w:rFonts w:ascii="Cambria Math" w:hAnsi="Cambria Math"/>
          <w:b/>
        </w:rPr>
      </w:pPr>
      <w:r w:rsidRPr="00317215">
        <w:rPr>
          <w:rFonts w:ascii="Cambria Math" w:hAnsi="Cambria Math"/>
          <w:b/>
        </w:rPr>
        <w:t>Necessary documents for obtaining visa C:</w:t>
      </w:r>
    </w:p>
    <w:p w:rsidR="00317215" w:rsidRPr="00317215" w:rsidRDefault="00317215" w:rsidP="00D54D92">
      <w:pPr>
        <w:rPr>
          <w:rFonts w:ascii="Cambria Math" w:hAnsi="Cambria Math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946"/>
        <w:gridCol w:w="567"/>
        <w:gridCol w:w="2319"/>
      </w:tblGrid>
      <w:tr w:rsidR="00711DE6" w:rsidRPr="00317215" w:rsidTr="0006736C">
        <w:trPr>
          <w:trHeight w:val="480"/>
        </w:trPr>
        <w:tc>
          <w:tcPr>
            <w:tcW w:w="624" w:type="dxa"/>
            <w:shd w:val="clear" w:color="auto" w:fill="D9D9D9"/>
            <w:vAlign w:val="center"/>
          </w:tcPr>
          <w:p w:rsidR="00711DE6" w:rsidRPr="00317215" w:rsidRDefault="00D54D92" w:rsidP="00317215">
            <w:pPr>
              <w:tabs>
                <w:tab w:val="left" w:pos="600"/>
              </w:tabs>
              <w:ind w:right="12"/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Ref No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711DE6" w:rsidRPr="00317215" w:rsidRDefault="000745BF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Necessary documents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54D92" w:rsidRPr="00317215" w:rsidRDefault="00D54D92" w:rsidP="00D54D92">
            <w:pPr>
              <w:ind w:right="12"/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Yes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711DE6" w:rsidRPr="00317215" w:rsidRDefault="00D54D92" w:rsidP="00317215">
            <w:pPr>
              <w:ind w:right="374"/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Note</w:t>
            </w: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317215" w:rsidP="00317215">
            <w:pPr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711DE6" w:rsidRPr="00317215" w:rsidRDefault="000745BF" w:rsidP="000745BF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Visa form – completely filled out and signed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ind w:right="12"/>
              <w:jc w:val="center"/>
              <w:rPr>
                <w:rFonts w:ascii="Cambria Math" w:hAnsi="Cambria Math"/>
                <w:sz w:val="22"/>
                <w:szCs w:val="22"/>
                <w:lang w:val="mk-MK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0745BF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2.</w:t>
            </w:r>
          </w:p>
        </w:tc>
        <w:tc>
          <w:tcPr>
            <w:tcW w:w="6946" w:type="dxa"/>
            <w:vAlign w:val="center"/>
          </w:tcPr>
          <w:p w:rsidR="00711DE6" w:rsidRPr="00317215" w:rsidRDefault="000745BF" w:rsidP="000745BF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A valid and recognized travel document (passport) with a validity period of at least 3 months longer than the planned stay of the foreigner in the Republic of North Macedonia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3.</w:t>
            </w:r>
          </w:p>
          <w:p w:rsidR="009E048A" w:rsidRPr="00317215" w:rsidRDefault="009E048A" w:rsidP="00317215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11DE6" w:rsidRPr="00317215" w:rsidRDefault="00524EB9" w:rsidP="00524EB9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Coloured image on a white background truly depicting his face 3.5 x 4.5 cm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9E048A" w:rsidP="00317215">
            <w:pPr>
              <w:ind w:left="600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44</w:t>
            </w:r>
          </w:p>
        </w:tc>
        <w:tc>
          <w:tcPr>
            <w:tcW w:w="6946" w:type="dxa"/>
            <w:vAlign w:val="center"/>
          </w:tcPr>
          <w:p w:rsidR="00711DE6" w:rsidRPr="00317215" w:rsidRDefault="002E0735" w:rsidP="002E073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Documents for (individual or collective) travel insurance (policy issued by an insurance legal entity in the country of residence)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5</w:t>
            </w:r>
            <w:r w:rsidR="00317215">
              <w:rPr>
                <w:rFonts w:ascii="Cambria Math" w:hAnsi="Cambria Math"/>
                <w:sz w:val="22"/>
                <w:szCs w:val="22"/>
                <w:lang w:val="en-US"/>
              </w:rPr>
              <w:t>.</w:t>
            </w:r>
          </w:p>
        </w:tc>
        <w:tc>
          <w:tcPr>
            <w:tcW w:w="6946" w:type="dxa"/>
            <w:vAlign w:val="center"/>
          </w:tcPr>
          <w:p w:rsidR="00711DE6" w:rsidRPr="00317215" w:rsidRDefault="002E0735" w:rsidP="002E073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Documents proving the purpose and circumstances of the planned stay in the Republic of North Macedonia (guarantee letter from a natural person, i.e. the legal entity invitation must be notarized).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mk-MK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6</w:t>
            </w:r>
            <w:r w:rsidR="00317215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6946" w:type="dxa"/>
            <w:vAlign w:val="center"/>
          </w:tcPr>
          <w:p w:rsidR="00711DE6" w:rsidRPr="00317215" w:rsidRDefault="00AD0B9D" w:rsidP="002E073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Documents proving that the applicant</w:t>
            </w:r>
            <w:r w:rsidR="002E0735" w:rsidRPr="00317215">
              <w:rPr>
                <w:rFonts w:ascii="Cambria Math" w:hAnsi="Cambria Math"/>
                <w:sz w:val="22"/>
                <w:szCs w:val="22"/>
              </w:rPr>
              <w:t xml:space="preserve"> has sufficient funds to support himself during his stay in the Republic of </w:t>
            </w:r>
            <w:r w:rsidRPr="00317215">
              <w:rPr>
                <w:rFonts w:ascii="Cambria Math" w:hAnsi="Cambria Math"/>
                <w:sz w:val="22"/>
                <w:szCs w:val="22"/>
              </w:rPr>
              <w:t xml:space="preserve">North Macedonia </w:t>
            </w:r>
            <w:r w:rsidR="002E0735" w:rsidRPr="00317215">
              <w:rPr>
                <w:rFonts w:ascii="Cambria Math" w:hAnsi="Cambria Math"/>
                <w:sz w:val="22"/>
                <w:szCs w:val="22"/>
              </w:rPr>
              <w:t xml:space="preserve">and to return to the country he came from or to travel to a third country, or documents proving that those funds are provided to him in </w:t>
            </w:r>
            <w:r w:rsidRPr="00317215">
              <w:rPr>
                <w:rFonts w:ascii="Cambria Math" w:hAnsi="Cambria Math"/>
                <w:sz w:val="22"/>
                <w:szCs w:val="22"/>
              </w:rPr>
              <w:t xml:space="preserve">another legal way (to have </w:t>
            </w:r>
            <w:r w:rsidR="002E0735" w:rsidRPr="00317215">
              <w:rPr>
                <w:rFonts w:ascii="Cambria Math" w:hAnsi="Cambria Math"/>
                <w:sz w:val="22"/>
                <w:szCs w:val="22"/>
              </w:rPr>
              <w:t>funds in cash in domestic or foreign convertible currency, to own a valid means of non-cash p</w:t>
            </w:r>
            <w:r w:rsidR="00317215" w:rsidRPr="00317215">
              <w:rPr>
                <w:rFonts w:ascii="Cambria Math" w:hAnsi="Cambria Math"/>
                <w:sz w:val="22"/>
                <w:szCs w:val="22"/>
              </w:rPr>
              <w:t>ayment (credit cards, travel</w:t>
            </w:r>
            <w:r w:rsidR="002E0735" w:rsidRPr="00317215">
              <w:rPr>
                <w:rFonts w:ascii="Cambria Math" w:hAnsi="Cambria Math"/>
                <w:sz w:val="22"/>
                <w:szCs w:val="22"/>
              </w:rPr>
              <w:t xml:space="preserve"> checks, etc.), to own real estate and other assets).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7</w:t>
            </w:r>
            <w:r w:rsidR="00317215">
              <w:rPr>
                <w:rFonts w:ascii="Cambria Math" w:hAnsi="Cambria Math"/>
                <w:sz w:val="22"/>
                <w:szCs w:val="22"/>
                <w:lang w:val="en-US"/>
              </w:rPr>
              <w:t>.</w:t>
            </w:r>
          </w:p>
        </w:tc>
        <w:tc>
          <w:tcPr>
            <w:tcW w:w="6946" w:type="dxa"/>
            <w:vAlign w:val="center"/>
          </w:tcPr>
          <w:p w:rsidR="00711DE6" w:rsidRPr="00317215" w:rsidRDefault="00AD0B9D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Photocopy of return plane ticket or reservation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ind w:right="374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317215">
              <w:rPr>
                <w:rFonts w:ascii="Cambria Math" w:hAnsi="Cambria Math"/>
                <w:sz w:val="22"/>
                <w:szCs w:val="22"/>
                <w:lang w:val="en-US"/>
              </w:rPr>
              <w:t>8</w:t>
            </w:r>
            <w:r w:rsidR="00317215">
              <w:rPr>
                <w:rFonts w:ascii="Cambria Math" w:hAnsi="Cambria Math"/>
                <w:sz w:val="22"/>
                <w:szCs w:val="22"/>
                <w:lang w:val="en-US"/>
              </w:rPr>
              <w:t>.</w:t>
            </w:r>
          </w:p>
        </w:tc>
        <w:tc>
          <w:tcPr>
            <w:tcW w:w="6946" w:type="dxa"/>
            <w:vAlign w:val="center"/>
          </w:tcPr>
          <w:p w:rsidR="00711DE6" w:rsidRPr="00317215" w:rsidRDefault="00AD0B9D" w:rsidP="00AD0B9D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Confirmation of a hotel accommodation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711DE6" w:rsidP="0006736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  <w:lang w:val="mk-MK"/>
              </w:rPr>
            </w:pPr>
          </w:p>
        </w:tc>
      </w:tr>
      <w:tr w:rsidR="00711DE6" w:rsidRPr="00317215" w:rsidTr="0006736C">
        <w:trPr>
          <w:trHeight w:val="284"/>
        </w:trPr>
        <w:tc>
          <w:tcPr>
            <w:tcW w:w="624" w:type="dxa"/>
            <w:vAlign w:val="center"/>
          </w:tcPr>
          <w:p w:rsidR="00711DE6" w:rsidRPr="00317215" w:rsidRDefault="00524EB9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9</w:t>
            </w:r>
            <w:r w:rsidR="00317215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6946" w:type="dxa"/>
            <w:vAlign w:val="center"/>
          </w:tcPr>
          <w:p w:rsidR="00711DE6" w:rsidRPr="00317215" w:rsidRDefault="00AD0B9D" w:rsidP="00AD0B9D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Proof of payment of visa application processing fee</w:t>
            </w:r>
          </w:p>
        </w:tc>
        <w:tc>
          <w:tcPr>
            <w:tcW w:w="567" w:type="dxa"/>
            <w:vAlign w:val="center"/>
          </w:tcPr>
          <w:p w:rsidR="00711DE6" w:rsidRPr="00317215" w:rsidRDefault="00711DE6" w:rsidP="0006736C">
            <w:pPr>
              <w:jc w:val="center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711DE6" w:rsidRPr="00317215" w:rsidRDefault="00AD0B9D" w:rsidP="00317215">
            <w:pPr>
              <w:rPr>
                <w:rFonts w:ascii="Cambria Math" w:hAnsi="Cambria Math"/>
                <w:sz w:val="22"/>
                <w:szCs w:val="22"/>
              </w:rPr>
            </w:pPr>
            <w:r w:rsidRPr="00317215">
              <w:rPr>
                <w:rFonts w:ascii="Cambria Math" w:hAnsi="Cambria Math"/>
                <w:sz w:val="22"/>
                <w:szCs w:val="22"/>
              </w:rPr>
              <w:t>The tariff is 60 euros, according to Law on administrative fees</w:t>
            </w:r>
          </w:p>
        </w:tc>
      </w:tr>
    </w:tbl>
    <w:p w:rsidR="00711DE6" w:rsidRPr="00317215" w:rsidRDefault="00711DE6" w:rsidP="00711DE6">
      <w:pPr>
        <w:jc w:val="both"/>
        <w:rPr>
          <w:rFonts w:ascii="Cambria Math" w:hAnsi="Cambria Math"/>
          <w:b/>
          <w:sz w:val="22"/>
          <w:szCs w:val="22"/>
          <w:u w:val="single"/>
          <w:lang w:val="en-US"/>
        </w:rPr>
      </w:pPr>
    </w:p>
    <w:p w:rsidR="003705C4" w:rsidRPr="00711DE6" w:rsidRDefault="003705C4" w:rsidP="00711DE6">
      <w:pPr>
        <w:rPr>
          <w:lang w:val="mk-MK"/>
        </w:rPr>
      </w:pPr>
      <w:bookmarkStart w:id="0" w:name="_GoBack"/>
      <w:bookmarkEnd w:id="0"/>
    </w:p>
    <w:sectPr w:rsidR="003705C4" w:rsidRPr="00711DE6" w:rsidSect="0037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A63"/>
    <w:multiLevelType w:val="hybridMultilevel"/>
    <w:tmpl w:val="3024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7B2"/>
    <w:multiLevelType w:val="hybridMultilevel"/>
    <w:tmpl w:val="8F9E1600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DE6"/>
    <w:rsid w:val="000745BF"/>
    <w:rsid w:val="002E0735"/>
    <w:rsid w:val="00317215"/>
    <w:rsid w:val="003705C4"/>
    <w:rsid w:val="00524EB9"/>
    <w:rsid w:val="00697161"/>
    <w:rsid w:val="00711DE6"/>
    <w:rsid w:val="009E048A"/>
    <w:rsid w:val="00AD0B9D"/>
    <w:rsid w:val="00D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cekas</dc:creator>
  <cp:lastModifiedBy>Elizabeta D. Tepavac</cp:lastModifiedBy>
  <cp:revision>9</cp:revision>
  <dcterms:created xsi:type="dcterms:W3CDTF">2019-08-13T08:46:00Z</dcterms:created>
  <dcterms:modified xsi:type="dcterms:W3CDTF">2023-01-30T13:12:00Z</dcterms:modified>
</cp:coreProperties>
</file>